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505D" w:rsidRPr="00017456" w:rsidRDefault="004F48E0" w:rsidP="00080F0B">
      <w:pPr>
        <w:pStyle w:val="1"/>
        <w:jc w:val="center"/>
        <w:rPr>
          <w:b/>
          <w:sz w:val="22"/>
          <w:szCs w:val="22"/>
          <w:lang w:val="kk-KZ" w:eastAsia="en-US"/>
        </w:rPr>
      </w:pPr>
      <w:bookmarkStart w:id="0" w:name="_GoBack"/>
      <w:bookmarkEnd w:id="0"/>
      <w:r w:rsidRPr="00017456">
        <w:rPr>
          <w:b/>
          <w:sz w:val="22"/>
          <w:szCs w:val="22"/>
          <w:lang w:eastAsia="en-US"/>
        </w:rPr>
        <w:t xml:space="preserve"> </w:t>
      </w:r>
      <w:r w:rsidR="00B13D32" w:rsidRPr="00017456">
        <w:rPr>
          <w:b/>
          <w:sz w:val="22"/>
          <w:szCs w:val="22"/>
          <w:lang w:val="kk-KZ" w:eastAsia="en-US"/>
        </w:rPr>
        <w:t>сатып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20</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«Облыстық аурухана»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20</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Брусиловский к-сі. Жеткізу уақыты 08: 00-ден 12: 30-ға дейін. және түнгі 2-ден. 4:30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«Облыстық аурухана»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firstRow="0" w:lastRow="0" w:firstColumn="0" w:lastColumn="0" w:noHBand="0" w:noVBand="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Pr="00C972D3" w:rsidRDefault="00C972D3"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854D46" w:rsidRPr="00C972D3" w:rsidRDefault="00854D46" w:rsidP="00080F0B">
      <w:pPr>
        <w:spacing w:after="0" w:line="240" w:lineRule="auto"/>
        <w:ind w:right="-286"/>
        <w:jc w:val="both"/>
        <w:rPr>
          <w:rFonts w:ascii="Times New Roman" w:eastAsia="Times New Roman" w:hAnsi="Times New Roman" w:cs="Times New Roman"/>
          <w:lang w:eastAsia="ru-RU"/>
        </w:rPr>
      </w:pPr>
    </w:p>
    <w:p w:rsidR="00080F0B" w:rsidRPr="00C972D3" w:rsidRDefault="00080F0B" w:rsidP="00080F0B">
      <w:pPr>
        <w:spacing w:after="0" w:line="240" w:lineRule="auto"/>
        <w:ind w:right="-286"/>
        <w:jc w:val="both"/>
        <w:rPr>
          <w:rFonts w:ascii="Times New Roman" w:eastAsia="Times New Roman" w:hAnsi="Times New Roman" w:cs="Times New Roman"/>
          <w:lang w:eastAsia="ru-RU"/>
        </w:rPr>
      </w:pPr>
    </w:p>
    <w:p w:rsidR="00080F0B" w:rsidRDefault="00080F0B" w:rsidP="00080F0B">
      <w:pPr>
        <w:spacing w:after="0" w:line="240" w:lineRule="auto"/>
        <w:ind w:right="-286"/>
        <w:jc w:val="both"/>
        <w:rPr>
          <w:rFonts w:ascii="Times New Roman" w:eastAsia="Times New Roman" w:hAnsi="Times New Roman" w:cs="Times New Roman"/>
          <w:lang w:eastAsia="ru-RU"/>
        </w:rPr>
      </w:pPr>
    </w:p>
    <w:p w:rsidR="00A36598" w:rsidRPr="00C972D3" w:rsidRDefault="00A36598"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019"/>
        <w:gridCol w:w="850"/>
        <w:gridCol w:w="849"/>
        <w:gridCol w:w="1277"/>
        <w:gridCol w:w="1417"/>
        <w:gridCol w:w="1984"/>
        <w:gridCol w:w="1701"/>
      </w:tblGrid>
      <w:tr w:rsidR="008B3177" w:rsidRPr="00713C52"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lastRenderedPageBreak/>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r w:rsidR="008B3177" w:rsidRPr="00C972D3">
              <w:rPr>
                <w:b/>
                <w:sz w:val="22"/>
                <w:szCs w:val="22"/>
              </w:rPr>
              <w:t>ге</w:t>
            </w:r>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r w:rsidRPr="00C972D3">
              <w:rPr>
                <w:b/>
                <w:sz w:val="22"/>
                <w:szCs w:val="22"/>
              </w:rPr>
              <w:t>ге</w:t>
            </w:r>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91366B" w:rsidP="00080F0B">
            <w:pPr>
              <w:spacing w:after="0" w:line="240" w:lineRule="auto"/>
              <w:jc w:val="both"/>
              <w:rPr>
                <w:rFonts w:ascii="Times New Roman" w:eastAsia="Calibri" w:hAnsi="Times New Roman" w:cs="Times New Roman"/>
                <w:lang w:val="kk-KZ"/>
              </w:rPr>
            </w:pPr>
            <w:r w:rsidRPr="00C972D3">
              <w:rPr>
                <w:rFonts w:ascii="Times New Roman" w:eastAsia="Calibri" w:hAnsi="Times New Roman" w:cs="Times New Roman"/>
              </w:rPr>
              <w:t>Петропавл</w:t>
            </w:r>
            <w:r w:rsidRPr="00C972D3">
              <w:rPr>
                <w:rFonts w:ascii="Times New Roman" w:eastAsia="Calibri" w:hAnsi="Times New Roman" w:cs="Times New Roman"/>
                <w:lang w:val="kk-KZ"/>
              </w:rPr>
              <w:t xml:space="preserve"> қ.</w:t>
            </w:r>
            <w:r w:rsidR="00807DF4" w:rsidRPr="00C972D3">
              <w:rPr>
                <w:rFonts w:ascii="Times New Roman" w:eastAsia="Calibri" w:hAnsi="Times New Roman" w:cs="Times New Roman"/>
              </w:rPr>
              <w:t xml:space="preserve">, </w:t>
            </w:r>
            <w:r w:rsidRPr="00C972D3">
              <w:rPr>
                <w:rFonts w:ascii="Times New Roman" w:eastAsia="Calibri" w:hAnsi="Times New Roman" w:cs="Times New Roman"/>
                <w:lang w:val="kk-KZ"/>
              </w:rPr>
              <w:t>Брусиловский көш., 20</w:t>
            </w: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r w:rsidRPr="00C972D3">
        <w:rPr>
          <w:rFonts w:ascii="Times New Roman" w:hAnsi="Times New Roman" w:cs="Times New Roman"/>
          <w:i/>
        </w:rPr>
        <w:t>Техни</w:t>
      </w:r>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1) Қазақстан Республикасында осы Кодекстің ережелеріне және денсаулық сақтау саласындағы уәкілетті орган айқындаған тәртіпке сәйкес медициналық мақсаттағы бұйымдардың тіркелгендігі (тіркелмеген медициналық мақсаттағы бұйымдарды, медициналық мақсаттағы бұйымға енгізілген компоненттерді қоспағанда, және бұл аумаққа тәуелсіз құрылғы немесе құрылғы ретінде пайдаланылмайтын медициналық мақсаттағы бұйымдарды қоспағанда) Денсаулық сақтау саласындағы уәкілетті орган берген қорытынды (рұқсат) негізінде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2) медициналық мақсаттағы бұйымдар денсаулық сақтау саласындағы уәкілетті орган бекіткен дәрілік заттарды, медициналық мақсаттағы бұйымдарды сақтау және тасымалдау ережелеріне сәйкес олардың қауіпсіздігін, тиімділігі мен сапасын сақтауды қамтамасыз ететін жағдайларда сақталады және тасымалданады;</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3) таңбалау, тұтынушылық қаптама және медициналық мақсаттағы бұйымдарды пайдалану жөніндегі нұсқаулықтар Қазақстан Республикасы заңнамасының талаптарына және денсаулық сақтау саласындағы уәкілетті орган белгілеген тәртіпке сәйкес келеді;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4) медициналық мақсаттағы бұйымдардың жарамдылық мерзімі өнім беруші тапсырыс берушіге жеткізген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мерзімінің елу процентінен кем емес (сақтау мерзімі екі жылдан кем емес);</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пакеттің көрсетілген жарамдылық мерзімінен бастап кемінде он екі ай (жарамдылық мерзімі екі жыл немесе одан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9) медициналық мақсаттағы бұйымдар олардың сипаттамаларына (жабдықтарына) сәйкес хабарламада немесе сатып алуға шақыруда көрсетілген сипаттамаларға (жабдықтарға) сәйкес келуі керек;</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10) ықтимал жеткізушінің баға ұсынысы бойынша медициналық мақсаттағы бұйымдар дәрі-дәрмектердің, сондай-ақ медициналық көмектің шекті бағаларын реттеу ережелеріне сәйкес денсаулық сақтау саласындағы уәкілетті орган айқындаған тәртіппен бекітілген халықаралық патенттік емес атаудың және (немесе) сауда-саттық атауының шекті бағасынан аспауы керек. тегін медициналық көмектің кепілдендірілген көлемі және міндетті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«Облыстық аурухана»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6478B"/>
    <w:rsid w:val="00670248"/>
    <w:rsid w:val="00673899"/>
    <w:rsid w:val="006836B5"/>
    <w:rsid w:val="0069175C"/>
    <w:rsid w:val="006929A2"/>
    <w:rsid w:val="00697CC9"/>
    <w:rsid w:val="006A5A82"/>
    <w:rsid w:val="006C2FD7"/>
    <w:rsid w:val="006D1FD2"/>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2403E"/>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28AFB1-6661-4610-8406-C4F147077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3495</Words>
  <Characters>19928</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 Windows</cp:lastModifiedBy>
  <cp:revision>2</cp:revision>
  <cp:lastPrinted>2018-08-29T06:32:00Z</cp:lastPrinted>
  <dcterms:created xsi:type="dcterms:W3CDTF">2020-01-21T09:04:00Z</dcterms:created>
  <dcterms:modified xsi:type="dcterms:W3CDTF">2020-01-21T09:04:00Z</dcterms:modified>
</cp:coreProperties>
</file>